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default"/>
          <w:b/>
          <w:sz w:val="24"/>
          <w:lang w:val="en-US" w:eastAsia="zh-CN"/>
        </w:rPr>
        <w:t>8</w:t>
      </w:r>
      <w:r>
        <w:rPr>
          <w:rFonts w:hint="eastAsia"/>
          <w:b/>
          <w:sz w:val="24"/>
          <w:lang w:eastAsia="zh-CN"/>
        </w:rPr>
        <w:t>-</w:t>
      </w:r>
      <w:r>
        <w:rPr>
          <w:b/>
          <w:sz w:val="24"/>
          <w:lang w:eastAsia="zh-CN"/>
        </w:rPr>
        <w:t>e</w:t>
      </w:r>
      <w:r>
        <w:rPr>
          <w:b/>
          <w:sz w:val="24"/>
        </w:rPr>
        <w:fldChar w:fldCharType="end"/>
      </w:r>
      <w:r>
        <w:rPr>
          <w:b/>
          <w:i/>
          <w:sz w:val="28"/>
        </w:rPr>
        <w:tab/>
      </w:r>
      <w:r>
        <w:rPr>
          <w:b/>
          <w:i w:val="0"/>
          <w:iCs/>
          <w:sz w:val="24"/>
          <w:szCs w:val="18"/>
        </w:rPr>
        <w:fldChar w:fldCharType="begin"/>
      </w:r>
      <w:r>
        <w:rPr>
          <w:b/>
          <w:i w:val="0"/>
          <w:iCs/>
          <w:sz w:val="24"/>
          <w:szCs w:val="18"/>
        </w:rPr>
        <w:instrText xml:space="preserve"> DOCPROPERTY  Tdoc#  \* MERGEFORMAT </w:instrText>
      </w:r>
      <w:r>
        <w:rPr>
          <w:b/>
          <w:i w:val="0"/>
          <w:iCs/>
          <w:sz w:val="24"/>
          <w:szCs w:val="18"/>
        </w:rPr>
        <w:fldChar w:fldCharType="separate"/>
      </w:r>
      <w:r>
        <w:rPr>
          <w:b/>
          <w:i w:val="0"/>
          <w:iCs/>
          <w:sz w:val="24"/>
          <w:szCs w:val="18"/>
        </w:rPr>
        <w:t>R1-2</w:t>
      </w:r>
      <w:r>
        <w:rPr>
          <w:rFonts w:hint="default"/>
          <w:b/>
          <w:i w:val="0"/>
          <w:iCs/>
          <w:sz w:val="24"/>
          <w:szCs w:val="18"/>
          <w:lang w:val="en-US"/>
        </w:rPr>
        <w:t>2</w:t>
      </w:r>
      <w:r>
        <w:rPr>
          <w:b/>
          <w:i w:val="0"/>
          <w:iCs/>
          <w:sz w:val="24"/>
          <w:szCs w:val="18"/>
        </w:rPr>
        <w:t>0</w:t>
      </w:r>
      <w:r>
        <w:rPr>
          <w:rFonts w:hint="default"/>
          <w:b/>
          <w:i w:val="0"/>
          <w:iCs/>
          <w:sz w:val="24"/>
          <w:szCs w:val="18"/>
          <w:lang w:val="en-US"/>
        </w:rPr>
        <w:t>1144</w:t>
      </w:r>
      <w:r>
        <w:rPr>
          <w:b/>
          <w:i w:val="0"/>
          <w:iCs/>
          <w:sz w:val="24"/>
          <w:szCs w:val="18"/>
        </w:rPr>
        <w:fldChar w:fldCharType="end"/>
      </w:r>
    </w:p>
    <w:p>
      <w:pPr>
        <w:pStyle w:val="117"/>
        <w:outlineLvl w:val="0"/>
        <w:rPr>
          <w:b/>
          <w:sz w:val="24"/>
          <w:szCs w:val="24"/>
        </w:rPr>
      </w:pPr>
      <w:r>
        <w:rPr>
          <w:b/>
          <w:sz w:val="24"/>
          <w:szCs w:val="24"/>
        </w:rPr>
        <w:t xml:space="preserve">e-Meeting, </w:t>
      </w:r>
      <w:r>
        <w:rPr>
          <w:rFonts w:ascii="Arial" w:hAnsi="Arial" w:eastAsia="MS Mincho" w:cs="Arial"/>
          <w:b/>
          <w:bCs/>
          <w:sz w:val="24"/>
          <w:szCs w:val="24"/>
          <w:lang w:eastAsia="ja-JP"/>
        </w:rPr>
        <w:t>February 21</w:t>
      </w:r>
      <w:r>
        <w:rPr>
          <w:rFonts w:ascii="Arial" w:hAnsi="Arial" w:eastAsia="MS Mincho" w:cs="Arial"/>
          <w:b/>
          <w:bCs/>
          <w:sz w:val="24"/>
          <w:szCs w:val="24"/>
          <w:vertAlign w:val="superscript"/>
          <w:lang w:eastAsia="ja-JP"/>
        </w:rPr>
        <w:t>st</w:t>
      </w:r>
      <w:r>
        <w:rPr>
          <w:rFonts w:ascii="Arial" w:hAnsi="Arial" w:eastAsia="MS Mincho" w:cs="Arial"/>
          <w:b/>
          <w:bCs/>
          <w:sz w:val="24"/>
          <w:szCs w:val="24"/>
          <w:lang w:eastAsia="ja-JP"/>
        </w:rPr>
        <w:t xml:space="preserve"> – March 3</w:t>
      </w:r>
      <w:r>
        <w:rPr>
          <w:rFonts w:ascii="Arial" w:hAnsi="Arial" w:eastAsia="MS Mincho" w:cs="Arial"/>
          <w:b/>
          <w:bCs/>
          <w:sz w:val="24"/>
          <w:szCs w:val="24"/>
          <w:vertAlign w:val="superscript"/>
          <w:lang w:eastAsia="ja-JP"/>
        </w:rPr>
        <w:t>rd</w:t>
      </w:r>
      <w:r>
        <w:rPr>
          <w:rFonts w:ascii="Arial" w:hAnsi="Arial"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default"/>
                <w:b/>
                <w:sz w:val="28"/>
                <w:lang w:val="en-US"/>
              </w:rPr>
              <w:t>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eastAsia="zh-CN"/>
              </w:rPr>
              <w:t>5</w:t>
            </w:r>
            <w:r>
              <w:rPr>
                <w:b/>
                <w:sz w:val="28"/>
              </w:rPr>
              <w:t>.</w:t>
            </w:r>
            <w:r>
              <w:rPr>
                <w:rFonts w:hint="default"/>
                <w:b/>
                <w:sz w:val="28"/>
                <w:lang w:val="en-US" w:eastAsia="zh-CN"/>
              </w:rPr>
              <w:t>10</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38.21</w:t>
            </w:r>
            <w:r>
              <w:rPr>
                <w:rFonts w:hint="default"/>
                <w:lang w:val="en-US" w:eastAsia="zh-CN"/>
              </w:rPr>
              <w:t>1</w:t>
            </w:r>
            <w:r>
              <w:rPr>
                <w:rFonts w:hint="eastAsia"/>
                <w:lang w:val="en-US" w:eastAsia="zh-CN"/>
              </w:rPr>
              <w:t xml:space="preserve"> CR on common resource block for CSI-RS for mobility</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rFonts w:hint="default"/>
                <w:lang w:val="en-US"/>
              </w:rPr>
              <w:t>2</w:t>
            </w:r>
            <w:r>
              <w:t>-</w:t>
            </w:r>
            <w:r>
              <w:rPr>
                <w:rFonts w:hint="default"/>
                <w:lang w:val="en-US" w:eastAsia="zh-CN"/>
              </w:rPr>
              <w:t>02</w:t>
            </w:r>
            <w:r>
              <w:t>-</w:t>
            </w:r>
            <w:r>
              <w:rPr>
                <w:rFonts w:hint="default"/>
                <w:lang w:val="en-US"/>
              </w:rPr>
              <w:t>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default"/>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 xml:space="preserve">The frequency resource of the CSI-RS for mobility is determined based on the point A provided by the higher layer parameter </w:t>
            </w:r>
            <w:r>
              <w:rPr>
                <w:rFonts w:hint="default"/>
                <w:i/>
                <w:iCs/>
                <w:lang w:val="en-US" w:eastAsia="zh-CN"/>
              </w:rPr>
              <w:t>refFreqCSI-RS</w:t>
            </w:r>
            <w:r>
              <w:rPr>
                <w:rFonts w:hint="default"/>
                <w:lang w:val="en-US" w:eastAsia="zh-CN"/>
              </w:rPr>
              <w:t xml:space="preserve"> in </w:t>
            </w:r>
            <w:r>
              <w:rPr>
                <w:i/>
                <w:iCs/>
              </w:rPr>
              <w:t>MeasObjectNR</w:t>
            </w:r>
            <w:r>
              <w:rPr>
                <w:rFonts w:hint="default"/>
                <w:i/>
                <w:iCs/>
                <w:lang w:val="en-US"/>
              </w:rPr>
              <w:t xml:space="preserve"> </w:t>
            </w:r>
            <w:r>
              <w:rPr>
                <w:rFonts w:hint="default"/>
                <w:lang w:val="en-US" w:eastAsia="zh-CN"/>
              </w:rPr>
              <w:t>IE.</w:t>
            </w:r>
          </w:p>
          <w:p>
            <w:pPr>
              <w:pStyle w:val="117"/>
              <w:spacing w:after="0"/>
              <w:ind w:left="100"/>
              <w:rPr>
                <w:rFonts w:hint="default"/>
                <w:lang w:val="en-US" w:eastAsia="zh-CN"/>
              </w:rPr>
            </w:pPr>
            <w:r>
              <w:rPr>
                <w:rFonts w:hint="default"/>
                <w:lang w:val="en-US" w:eastAsia="zh-CN"/>
              </w:rPr>
              <w:t xml:space="preserve">In TS38.211, it is stated that the start PRB for the CSI-RS is relative to the common resource block 0. The common resource block 0 is determined by the point A. It is further stated that the point A can be provided by a delta value relative to the lower bound of the SSB or an absolute value from higher layer parameter </w:t>
            </w:r>
            <w:r>
              <w:rPr>
                <w:rFonts w:hint="default"/>
                <w:i/>
                <w:iCs/>
                <w:lang w:val="en-US" w:eastAsia="zh-CN"/>
              </w:rPr>
              <w:t>absoluteFrequencyPointA</w:t>
            </w:r>
            <w:r>
              <w:rPr>
                <w:rFonts w:hint="default"/>
                <w:lang w:val="en-US" w:eastAsia="zh-CN"/>
              </w:rPr>
              <w:t>. It can be seen that the description on the point A for CSI-RS for mobility is missing in current specification. Considering that the CSI-RS for mobility may need a different point A due to the reason that the point A is configured per frequency layer and shared by several cells including neighbour cells, the corresponding correction is needed so that the UE can determine the frequency resource for CSI-RS for mobility correctly.</w:t>
            </w:r>
          </w:p>
          <w:p>
            <w:pPr>
              <w:pStyle w:val="117"/>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Add the</w:t>
            </w:r>
            <w:r>
              <w:rPr>
                <w:rFonts w:hint="eastAsia"/>
                <w:lang w:val="en-US" w:eastAsia="zh-CN"/>
              </w:rPr>
              <w:t xml:space="preserve"> description </w:t>
            </w:r>
            <w:r>
              <w:rPr>
                <w:rFonts w:hint="default"/>
                <w:lang w:val="en-US" w:eastAsia="zh-CN"/>
              </w:rPr>
              <w:t>on the point A for the CSI-RS for mobility so that the UE can determine the frequency resource correctly and the description is aligned to RAN2 specification.</w:t>
            </w:r>
          </w:p>
          <w:p>
            <w:pPr>
              <w:pStyle w:val="117"/>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 xml:space="preserve">The frequency resource for CSI-RS for mobility may be determined by the UE incorrectly.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pPr>
      <w:bookmarkStart w:id="2" w:name="_Toc19796387"/>
      <w:bookmarkStart w:id="3" w:name="_Toc90288394"/>
      <w:r>
        <w:t>4.4.4.2</w:t>
      </w:r>
      <w:r>
        <w:tab/>
      </w:r>
      <w:r>
        <w:t>Point A</w:t>
      </w:r>
      <w:bookmarkEnd w:id="2"/>
      <w:bookmarkEnd w:id="3"/>
    </w:p>
    <w:p>
      <w:r>
        <w:t>Point A serves as a common reference point for resource block grids and is obtained from:</w:t>
      </w:r>
    </w:p>
    <w:p>
      <w:pPr>
        <w:pStyle w:val="111"/>
      </w:pPr>
      <w:r>
        <w:t>-</w:t>
      </w:r>
      <w:r>
        <w:tab/>
      </w:r>
      <w:r>
        <w:rPr>
          <w:i/>
        </w:rPr>
        <w:t>offsetToPointA</w:t>
      </w:r>
      <w:r>
        <w:t xml:space="preserve"> for a PCell downlink where </w:t>
      </w:r>
      <w:r>
        <w:rPr>
          <w:i/>
        </w:rPr>
        <w:t>offsetToPointA</w:t>
      </w:r>
      <w:r>
        <w:t xml:space="preserve"> represents the frequency offset between point A and the lowest subcarrier of the lowest resource block, which has the subcarrier spacing provided by the higher-layer parameter </w:t>
      </w:r>
      <w:r>
        <w:rPr>
          <w:i/>
        </w:rPr>
        <w:t>subCarrierSpacingCommon</w:t>
      </w:r>
      <w:r>
        <w:t xml:space="preserve"> and overlaps with the SS/PBCH block used by the UE for initial cell selection, expressed in units of resource blocks assuming 15 kHz subcarrier spacing for FR1 and 60 kHz subcarrier spacing for FR2;</w:t>
      </w:r>
      <w:r>
        <w:rPr>
          <w:b/>
          <w:bCs/>
        </w:rPr>
        <w:t xml:space="preserve"> </w:t>
      </w:r>
    </w:p>
    <w:p>
      <w:pPr>
        <w:pStyle w:val="111"/>
        <w:rPr>
          <w:ins w:id="0" w:author="ZTE" w:date="2022-02-08T10:56:01Z"/>
          <w:rFonts w:hint="default"/>
          <w:lang w:val="en-US"/>
        </w:rPr>
      </w:pPr>
      <w:ins w:id="1" w:author="ZTE" w:date="2022-02-08T10:56:01Z">
        <w:r>
          <w:rPr>
            <w:rFonts w:hint="default"/>
            <w:lang w:val="en-US"/>
          </w:rPr>
          <w:t>-</w:t>
        </w:r>
      </w:ins>
      <w:ins w:id="2" w:author="ZTE" w:date="2022-02-08T10:56:01Z">
        <w:r>
          <w:rPr>
            <w:rFonts w:hint="default"/>
            <w:lang w:val="en-US"/>
          </w:rPr>
          <w:tab/>
        </w:r>
      </w:ins>
      <w:ins w:id="3" w:author="ZTE" w:date="2022-02-08T10:56:01Z">
        <w:r>
          <w:rPr>
            <w:i/>
            <w:iCs/>
          </w:rPr>
          <w:t>refFreqCSI-RS</w:t>
        </w:r>
      </w:ins>
      <w:ins w:id="4" w:author="ZTE" w:date="2022-02-08T10:56:01Z">
        <w:r>
          <w:rPr>
            <w:rFonts w:hint="default"/>
            <w:lang w:val="en-US"/>
          </w:rPr>
          <w:t xml:space="preserve"> for a CSI-RS resource determination for mobility where </w:t>
        </w:r>
      </w:ins>
      <w:ins w:id="5" w:author="ZTE" w:date="2022-02-08T10:56:01Z">
        <w:r>
          <w:rPr>
            <w:i/>
            <w:iCs/>
          </w:rPr>
          <w:t>refFreqCSI-RS</w:t>
        </w:r>
      </w:ins>
      <w:ins w:id="6" w:author="ZTE" w:date="2022-02-08T10:56:01Z">
        <w:r>
          <w:rPr>
            <w:rFonts w:hint="default"/>
            <w:lang w:val="en-US"/>
          </w:rPr>
          <w:t xml:space="preserve"> </w:t>
        </w:r>
      </w:ins>
      <w:ins w:id="7" w:author="ZTE" w:date="2022-02-08T10:56:01Z">
        <w:r>
          <w:rPr/>
          <w:t>represents the frequency-location of point A expressed as in ARFCN</w:t>
        </w:r>
      </w:ins>
      <w:ins w:id="8" w:author="ZTE" w:date="2022-02-08T10:56:01Z">
        <w:r>
          <w:rPr>
            <w:rFonts w:hint="default"/>
            <w:lang w:val="en-US"/>
          </w:rPr>
          <w:t>.</w:t>
        </w:r>
      </w:ins>
    </w:p>
    <w:p>
      <w:pPr>
        <w:pStyle w:val="111"/>
      </w:pPr>
      <w:r>
        <w:t>-</w:t>
      </w:r>
      <w:r>
        <w:tab/>
      </w:r>
      <w:r>
        <w:rPr>
          <w:i/>
        </w:rPr>
        <w:t>absoluteFrequencyPointA</w:t>
      </w:r>
      <w:r>
        <w:t xml:space="preserve"> for all other cases where </w:t>
      </w:r>
      <w:r>
        <w:rPr>
          <w:i/>
        </w:rPr>
        <w:t>absoluteFrequencyPointA</w:t>
      </w:r>
      <w:r>
        <w:t xml:space="preserve"> represents the frequency-location of point A expressed as in ARFCN.</w:t>
      </w:r>
    </w:p>
    <w:p>
      <w:pPr>
        <w:bidi w:val="0"/>
        <w:spacing w:before="120" w:line="280" w:lineRule="atLeast"/>
        <w:rPr>
          <w:rFonts w:hint="default"/>
          <w:vertAlign w:val="baseline"/>
          <w:lang w:val="en-US" w:eastAsia="zh-CN"/>
        </w:rPr>
      </w:pPr>
      <w:r>
        <w:rPr>
          <w:b/>
          <w:iCs/>
          <w:color w:val="FF0000"/>
          <w:sz w:val="28"/>
        </w:rPr>
        <w:t>&lt;Unchanged parts are omitted&gt;</w:t>
      </w:r>
    </w:p>
    <w:p>
      <w:pPr>
        <w:pStyle w:val="6"/>
      </w:pPr>
      <w:bookmarkStart w:id="4" w:name="_Toc19796516"/>
      <w:bookmarkStart w:id="5" w:name="_Toc90288523"/>
      <w:r>
        <w:t>7.4.1.5.3</w:t>
      </w:r>
      <w:r>
        <w:tab/>
      </w:r>
      <w:r>
        <w:t>Mapping to physical resources</w:t>
      </w:r>
      <w:bookmarkEnd w:id="4"/>
      <w:bookmarkEnd w:id="5"/>
    </w:p>
    <w:p>
      <w:pPr>
        <w:bidi w:val="0"/>
        <w:spacing w:before="120" w:line="280" w:lineRule="atLeast"/>
      </w:pPr>
      <w:r>
        <w:rPr>
          <w:b/>
          <w:iCs/>
          <w:color w:val="FF0000"/>
          <w:sz w:val="28"/>
        </w:rPr>
        <w:t>&lt;Unchanged parts are omitted&gt;</w:t>
      </w:r>
    </w:p>
    <w:p>
      <w:r>
        <w:t xml:space="preserve">The frequency-domain location is given by a bitmap provided by the higher-layer parameter </w:t>
      </w:r>
      <w:r>
        <w:rPr>
          <w:i/>
        </w:rPr>
        <w:t>frequencyDomainAllocation</w:t>
      </w:r>
      <w:r>
        <w:t xml:space="preserve"> in the </w:t>
      </w:r>
      <w:r>
        <w:rPr>
          <w:i/>
        </w:rPr>
        <w:t>CSI-RS-ResourceMapping</w:t>
      </w:r>
      <w:r>
        <w:t xml:space="preserve"> IE or the </w:t>
      </w:r>
      <w:r>
        <w:rPr>
          <w:i/>
        </w:rPr>
        <w:t>CSI-RS-ResourceConfigMobility</w:t>
      </w:r>
      <w:r>
        <w:t xml:space="preserve"> IE with the bitmap and value of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m:t>
            </m:r>
            <m:ctrlPr>
              <w:rPr>
                <w:rFonts w:ascii="Cambria Math" w:hAnsi="Cambria Math"/>
                <w:i/>
              </w:rPr>
            </m:ctrlPr>
          </m:sub>
        </m:sSub>
      </m:oMath>
      <w:r>
        <w:t xml:space="preserve"> in Table 7.4.1.5.3-1 given by</w:t>
      </w:r>
    </w:p>
    <w:p>
      <w:pPr>
        <w:pStyle w:val="111"/>
      </w:pPr>
      <w:r>
        <w:t>-</w:t>
      </w:r>
      <w:r>
        <w:tab/>
      </w:r>
      <w:r>
        <w:rPr>
          <w:position w:val="-10"/>
        </w:rPr>
        <w:object>
          <v:shape id="_x0000_i1025" o:spt="75" type="#_x0000_t75" style="height:15.05pt;width:36.8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row 1 of Table 7.4.1.5.3-1</w:t>
      </w:r>
    </w:p>
    <w:p>
      <w:pPr>
        <w:pStyle w:val="111"/>
      </w:pPr>
      <w:r>
        <w:t>-</w:t>
      </w:r>
      <w:r>
        <w:tab/>
      </w:r>
      <w:r>
        <w:rPr>
          <w:position w:val="-10"/>
        </w:rPr>
        <w:object>
          <v:shape id="_x0000_i1026" o:spt="75" type="#_x0000_t75" style="height:15.05pt;width:39.3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row 2 of Table 7.4.1.5.3-1</w:t>
      </w:r>
    </w:p>
    <w:p>
      <w:pPr>
        <w:pStyle w:val="111"/>
      </w:pPr>
      <w:r>
        <w:t>-</w:t>
      </w:r>
      <w:r>
        <w:tab/>
      </w:r>
      <w:r>
        <w:rPr>
          <w:position w:val="-10"/>
        </w:rPr>
        <w:object>
          <v:shape id="_x0000_i1027" o:spt="75" type="#_x0000_t75" style="height:15.05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=4f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row 4 of Table 7.4.1.5.3-1</w:t>
      </w:r>
    </w:p>
    <w:p>
      <w:pPr>
        <w:pStyle w:val="111"/>
      </w:pPr>
      <w:r>
        <w:t>-</w:t>
      </w:r>
      <w:r>
        <w:tab/>
      </w:r>
      <w:r>
        <w:rPr>
          <w:position w:val="-10"/>
        </w:rPr>
        <w:object>
          <v:shape id="_x0000_i1028" o:spt="75" type="#_x0000_t75" style="height:15.05pt;width:38.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t xml:space="preserv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i-1</m:t>
            </m:r>
            <m:ctrlPr>
              <w:rPr>
                <w:rFonts w:ascii="Cambria Math" w:hAnsi="Cambria Math"/>
                <w:i/>
              </w:rPr>
            </m:ctrlPr>
          </m:sub>
        </m:sSub>
        <m:r>
          <w:rPr>
            <w:rFonts w:ascii="Cambria Math" w:hAnsi="Cambria Math"/>
          </w:rPr>
          <m:t>=2f</m:t>
        </m:r>
        <m:d>
          <m:dPr>
            <m:ctrlPr>
              <w:rPr>
                <w:rFonts w:ascii="Cambria Math" w:hAnsi="Cambria Math"/>
                <w:i/>
              </w:rPr>
            </m:ctrlPr>
          </m:dPr>
          <m:e>
            <m:r>
              <w:rPr>
                <w:rFonts w:ascii="Cambria Math" w:hAnsi="Cambria Math"/>
              </w:rPr>
              <m:t>i</m:t>
            </m:r>
            <m:ctrlPr>
              <w:rPr>
                <w:rFonts w:ascii="Cambria Math" w:hAnsi="Cambria Math"/>
                <w:i/>
              </w:rPr>
            </m:ctrlPr>
          </m:e>
        </m:d>
      </m:oMath>
      <w:r>
        <w:t xml:space="preserve"> for all other cases</w:t>
      </w:r>
    </w:p>
    <w:p>
      <w:r>
        <w:t xml:space="preserve">where </w:t>
      </w:r>
      <w:r>
        <w:rPr>
          <w:position w:val="-10"/>
        </w:rPr>
        <w:object>
          <v:shape id="_x0000_i1029" o:spt="75" type="#_x0000_t75" style="height:15.05pt;width:20.1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t xml:space="preserve"> is the bit number of the </w:t>
      </w:r>
      <w:r>
        <w:rPr>
          <w:position w:val="-6"/>
        </w:rPr>
        <w:object>
          <v:shape id="_x0000_i1030" o:spt="75" type="#_x0000_t75" style="height:15.05pt;width:12.5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ρ</m:t>
                </m:r>
                <m:ctrlPr>
                  <w:rPr>
                    <w:rFonts w:ascii="Cambria Math" w:hAnsi="Cambria Math"/>
                    <w:i/>
                  </w:rPr>
                </m:ctrlPr>
              </m:den>
            </m:f>
            <m:ctrlPr>
              <w:rPr>
                <w:rFonts w:ascii="Cambria Math" w:hAnsi="Cambria Math"/>
                <w:i/>
              </w:rPr>
            </m:ctrlPr>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 or given by the higher-layer parameters </w:t>
      </w:r>
      <w:r>
        <w:rPr>
          <w:i/>
        </w:rPr>
        <w:t>nrofPRBs</w:t>
      </w:r>
      <w:r>
        <w:t xml:space="preserve"> in the </w:t>
      </w:r>
      <w:r>
        <w:rPr>
          <w:i/>
        </w:rPr>
        <w:t>CSI-RS-CellMobility</w:t>
      </w:r>
      <w:r>
        <w:t xml:space="preserve"> IE where the the </w:t>
      </w:r>
      <w:r>
        <w:rPr>
          <w:i/>
        </w:rPr>
        <w:t>startPRB</w:t>
      </w:r>
      <w:r>
        <w:t xml:space="preserve"> given by </w:t>
      </w:r>
      <w:r>
        <w:rPr>
          <w:i/>
        </w:rPr>
        <w:t>csi-rs-MeasurementBW</w:t>
      </w:r>
      <w:r>
        <w:t xml:space="preserve"> is relative to common resource block 0</w:t>
      </w:r>
      <w:ins w:id="9" w:author="ZTE" w:date="2022-02-08T10:56:55Z">
        <w:r>
          <w:rPr>
            <w:rFonts w:hint="default"/>
            <w:highlight w:val="none"/>
            <w:lang w:val="en-US"/>
          </w:rPr>
          <w:t xml:space="preserve"> determined by the </w:t>
        </w:r>
      </w:ins>
      <w:ins w:id="10" w:author="ZTE" w:date="2022-02-14T09:27:10Z">
        <w:r>
          <w:rPr>
            <w:rFonts w:hint="eastAsia"/>
            <w:highlight w:val="none"/>
            <w:lang w:val="en-US" w:eastAsia="zh-CN"/>
          </w:rPr>
          <w:t>p</w:t>
        </w:r>
      </w:ins>
      <w:ins w:id="11" w:author="ZTE" w:date="2022-02-08T10:56:55Z">
        <w:r>
          <w:rPr>
            <w:rFonts w:hint="default"/>
            <w:highlight w:val="none"/>
            <w:lang w:val="en-US"/>
          </w:rPr>
          <w:t>oint</w:t>
        </w:r>
      </w:ins>
      <w:ins w:id="12" w:author="ZTE" w:date="2022-02-14T09:10:42Z">
        <w:r>
          <w:rPr>
            <w:rFonts w:hint="eastAsia"/>
            <w:highlight w:val="none"/>
            <w:lang w:val="en-US" w:eastAsia="zh-CN"/>
          </w:rPr>
          <w:t xml:space="preserve"> </w:t>
        </w:r>
      </w:ins>
      <w:ins w:id="13" w:author="ZTE" w:date="2022-02-08T10:56:55Z">
        <w:r>
          <w:rPr>
            <w:rFonts w:hint="default"/>
            <w:highlight w:val="none"/>
            <w:lang w:val="en-US"/>
          </w:rPr>
          <w:t xml:space="preserve">A given by the higher layer parameter </w:t>
        </w:r>
      </w:ins>
      <w:ins w:id="14" w:author="ZTE" w:date="2022-02-08T10:56:55Z">
        <w:r>
          <w:rPr>
            <w:i/>
            <w:iCs/>
          </w:rPr>
          <w:t>refFreqCSI-RS</w:t>
        </w:r>
      </w:ins>
      <w:r>
        <w:rPr>
          <w:i/>
        </w:rPr>
        <w:t>.</w:t>
      </w:r>
      <w:r>
        <w:t xml:space="preserve"> </w:t>
      </w:r>
      <w:bookmarkStart w:id="6" w:name="_GoBack"/>
      <w:bookmarkEnd w:id="6"/>
    </w:p>
    <w:p>
      <w:pPr>
        <w:bidi w:val="0"/>
        <w:spacing w:before="120" w:line="280" w:lineRule="atLeast"/>
        <w:rPr>
          <w:rFonts w:hint="default"/>
          <w:vertAlign w:val="baseline"/>
          <w:lang w:val="en-US" w:eastAsia="zh-CN"/>
        </w:rPr>
      </w:pPr>
      <w:r>
        <w:rPr>
          <w:b/>
          <w:iCs/>
          <w:color w:val="FF0000"/>
          <w:sz w:val="28"/>
        </w:rPr>
        <w:t>&lt;Unchanged parts are omitted&gt;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95F7B6B"/>
    <w:rsid w:val="0FE11E2F"/>
    <w:rsid w:val="100D2418"/>
    <w:rsid w:val="108128B6"/>
    <w:rsid w:val="11795505"/>
    <w:rsid w:val="16901BD3"/>
    <w:rsid w:val="18E156D4"/>
    <w:rsid w:val="23F021A2"/>
    <w:rsid w:val="258305F0"/>
    <w:rsid w:val="28D74209"/>
    <w:rsid w:val="2C531A44"/>
    <w:rsid w:val="2CD91AD9"/>
    <w:rsid w:val="2D92105F"/>
    <w:rsid w:val="30D15421"/>
    <w:rsid w:val="314E2AD2"/>
    <w:rsid w:val="34FB03FF"/>
    <w:rsid w:val="35802D75"/>
    <w:rsid w:val="35AC0DCE"/>
    <w:rsid w:val="35EC292D"/>
    <w:rsid w:val="36FE44E2"/>
    <w:rsid w:val="3C174EA9"/>
    <w:rsid w:val="3FE2657F"/>
    <w:rsid w:val="40AD6321"/>
    <w:rsid w:val="46864F97"/>
    <w:rsid w:val="46EA10E7"/>
    <w:rsid w:val="4A307DC1"/>
    <w:rsid w:val="4AF420C1"/>
    <w:rsid w:val="4D0A7980"/>
    <w:rsid w:val="50291C0C"/>
    <w:rsid w:val="557E3E9E"/>
    <w:rsid w:val="56E84D96"/>
    <w:rsid w:val="57BD6D53"/>
    <w:rsid w:val="59690C95"/>
    <w:rsid w:val="5A721965"/>
    <w:rsid w:val="5BE32F8B"/>
    <w:rsid w:val="5D647E4D"/>
    <w:rsid w:val="62BE5462"/>
    <w:rsid w:val="684C17B2"/>
    <w:rsid w:val="69FF0B0D"/>
    <w:rsid w:val="6C441E93"/>
    <w:rsid w:val="6CB8404C"/>
    <w:rsid w:val="6DB8537A"/>
    <w:rsid w:val="6E791DCC"/>
    <w:rsid w:val="6F5D4925"/>
    <w:rsid w:val="708B0B63"/>
    <w:rsid w:val="70D73DA8"/>
    <w:rsid w:val="71F3248C"/>
    <w:rsid w:val="72181CD8"/>
    <w:rsid w:val="7560609B"/>
    <w:rsid w:val="75E90518"/>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1180</Words>
  <Characters>5913</Characters>
  <Lines>47</Lines>
  <Paragraphs>13</Paragraphs>
  <TotalTime>0</TotalTime>
  <ScaleCrop>false</ScaleCrop>
  <LinksUpToDate>false</LinksUpToDate>
  <CharactersWithSpaces>7003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2022-02-14T01:27:16Z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